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86B1C" w14:textId="77777777" w:rsidR="00302FCF" w:rsidRDefault="00D169D9" w:rsidP="00D169D9">
      <w:pPr>
        <w:pBdr>
          <w:top w:val="nil"/>
          <w:left w:val="nil"/>
          <w:bottom w:val="nil"/>
          <w:right w:val="nil"/>
          <w:between w:val="nil"/>
        </w:pBdr>
        <w:tabs>
          <w:tab w:val="center" w:pos="4513"/>
          <w:tab w:val="right" w:pos="9026"/>
        </w:tabs>
        <w:spacing w:before="120" w:after="120"/>
        <w:jc w:val="left"/>
        <w:rPr>
          <w:rFonts w:ascii="Arial" w:eastAsia="Arial" w:hAnsi="Arial"/>
          <w:b/>
          <w:color w:val="000000"/>
          <w:sz w:val="36"/>
          <w:szCs w:val="36"/>
        </w:rPr>
      </w:pPr>
      <w:bookmarkStart w:id="0" w:name="_heading=h.2xcytpi" w:colFirst="0" w:colLast="0"/>
      <w:bookmarkEnd w:id="0"/>
      <w:r>
        <w:rPr>
          <w:rFonts w:ascii="Arial" w:eastAsia="Arial" w:hAnsi="Arial"/>
          <w:b/>
          <w:color w:val="000000"/>
          <w:sz w:val="36"/>
          <w:szCs w:val="36"/>
        </w:rPr>
        <w:t>Joint Schedule 7 (Financial Difficulties)</w:t>
      </w:r>
    </w:p>
    <w:p w14:paraId="37C86B1D" w14:textId="77777777" w:rsidR="00302FCF" w:rsidRDefault="00D169D9" w:rsidP="00D169D9">
      <w:pPr>
        <w:keepNext/>
        <w:numPr>
          <w:ilvl w:val="0"/>
          <w:numId w:val="2"/>
        </w:numPr>
        <w:pBdr>
          <w:top w:val="nil"/>
          <w:left w:val="nil"/>
          <w:bottom w:val="nil"/>
          <w:right w:val="nil"/>
          <w:between w:val="nil"/>
        </w:pBdr>
        <w:tabs>
          <w:tab w:val="left" w:pos="142"/>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7C86B1E" w14:textId="77777777" w:rsidR="00302FCF" w:rsidRDefault="00D169D9" w:rsidP="00D169D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2"/>
        <w:tblW w:w="85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6305"/>
      </w:tblGrid>
      <w:tr w:rsidR="00302FCF" w14:paraId="37C86B21" w14:textId="77777777" w:rsidTr="00D169D9">
        <w:tc>
          <w:tcPr>
            <w:tcW w:w="2268" w:type="dxa"/>
          </w:tcPr>
          <w:p w14:paraId="37C86B1F" w14:textId="77777777" w:rsidR="00302FCF" w:rsidRDefault="00D169D9" w:rsidP="00D169D9">
            <w:pPr>
              <w:pBdr>
                <w:top w:val="nil"/>
                <w:left w:val="nil"/>
                <w:bottom w:val="nil"/>
                <w:right w:val="nil"/>
                <w:between w:val="nil"/>
              </w:pBdr>
              <w:spacing w:before="120" w:after="120"/>
              <w:ind w:left="113" w:right="113"/>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6305" w:type="dxa"/>
          </w:tcPr>
          <w:p w14:paraId="37C86B20" w14:textId="77777777" w:rsidR="00302FCF" w:rsidRDefault="00D169D9" w:rsidP="00D169D9">
            <w:pPr>
              <w:numPr>
                <w:ilvl w:val="0"/>
                <w:numId w:val="1"/>
              </w:numPr>
              <w:pBdr>
                <w:top w:val="nil"/>
                <w:left w:val="nil"/>
                <w:bottom w:val="nil"/>
                <w:right w:val="nil"/>
                <w:between w:val="nil"/>
              </w:pBdr>
              <w:tabs>
                <w:tab w:val="left" w:pos="175"/>
              </w:tabs>
              <w:spacing w:before="120" w:after="120"/>
              <w:ind w:left="113" w:right="113"/>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302FCF" w14:paraId="37C86B2F" w14:textId="77777777" w:rsidTr="00D169D9">
        <w:tc>
          <w:tcPr>
            <w:tcW w:w="2268" w:type="dxa"/>
          </w:tcPr>
          <w:p w14:paraId="37C86B22" w14:textId="77777777" w:rsidR="00302FCF" w:rsidRDefault="00D169D9" w:rsidP="00D169D9">
            <w:pPr>
              <w:pBdr>
                <w:top w:val="nil"/>
                <w:left w:val="nil"/>
                <w:bottom w:val="nil"/>
                <w:right w:val="nil"/>
                <w:between w:val="nil"/>
              </w:pBdr>
              <w:spacing w:before="120" w:after="120"/>
              <w:ind w:left="113" w:right="113"/>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w:t>
            </w:r>
            <w:r>
              <w:rPr>
                <w:rFonts w:ascii="Arial" w:eastAsia="Arial" w:hAnsi="Arial"/>
                <w:b/>
                <w:color w:val="000000"/>
                <w:sz w:val="24"/>
                <w:szCs w:val="24"/>
              </w:rPr>
              <w:t>Financial Distress Event"</w:t>
            </w:r>
          </w:p>
        </w:tc>
        <w:tc>
          <w:tcPr>
            <w:tcW w:w="6305" w:type="dxa"/>
          </w:tcPr>
          <w:p w14:paraId="37C86B23" w14:textId="77777777" w:rsidR="00302FCF" w:rsidRDefault="00D169D9" w:rsidP="00D169D9">
            <w:pPr>
              <w:numPr>
                <w:ilvl w:val="0"/>
                <w:numId w:val="1"/>
              </w:numPr>
              <w:pBdr>
                <w:top w:val="nil"/>
                <w:left w:val="nil"/>
                <w:bottom w:val="nil"/>
                <w:right w:val="nil"/>
                <w:between w:val="nil"/>
              </w:pBdr>
              <w:tabs>
                <w:tab w:val="left" w:pos="175"/>
              </w:tabs>
              <w:spacing w:before="120" w:after="120"/>
              <w:ind w:left="113" w:right="113"/>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37C86B24" w14:textId="77777777" w:rsidR="00302FCF" w:rsidRDefault="00D169D9" w:rsidP="00D169D9">
            <w:pPr>
              <w:numPr>
                <w:ilvl w:val="1"/>
                <w:numId w:val="1"/>
              </w:numPr>
              <w:pBdr>
                <w:top w:val="nil"/>
                <w:left w:val="nil"/>
                <w:bottom w:val="nil"/>
                <w:right w:val="nil"/>
                <w:between w:val="nil"/>
              </w:pBdr>
              <w:tabs>
                <w:tab w:val="left" w:pos="175"/>
              </w:tabs>
              <w:spacing w:before="120" w:after="120"/>
              <w:ind w:left="657" w:right="113"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7C86B25" w14:textId="77777777" w:rsidR="00302FCF" w:rsidRDefault="00D169D9" w:rsidP="00D169D9">
            <w:pPr>
              <w:numPr>
                <w:ilvl w:val="1"/>
                <w:numId w:val="1"/>
              </w:numPr>
              <w:pBdr>
                <w:top w:val="nil"/>
                <w:left w:val="nil"/>
                <w:bottom w:val="nil"/>
                <w:right w:val="nil"/>
                <w:between w:val="nil"/>
              </w:pBdr>
              <w:tabs>
                <w:tab w:val="left" w:pos="175"/>
              </w:tabs>
              <w:spacing w:before="120" w:after="120"/>
              <w:ind w:left="657" w:right="113"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37C86B26" w14:textId="77777777" w:rsidR="00302FCF" w:rsidRDefault="00D169D9" w:rsidP="00D169D9">
            <w:pPr>
              <w:numPr>
                <w:ilvl w:val="1"/>
                <w:numId w:val="1"/>
              </w:numPr>
              <w:pBdr>
                <w:top w:val="nil"/>
                <w:left w:val="nil"/>
                <w:bottom w:val="nil"/>
                <w:right w:val="nil"/>
                <w:between w:val="nil"/>
              </w:pBdr>
              <w:tabs>
                <w:tab w:val="left" w:pos="175"/>
              </w:tabs>
              <w:spacing w:before="120" w:after="120"/>
              <w:ind w:left="657" w:right="113"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37C86B27" w14:textId="77777777" w:rsidR="00302FCF" w:rsidRDefault="00D169D9" w:rsidP="00D169D9">
            <w:pPr>
              <w:numPr>
                <w:ilvl w:val="1"/>
                <w:numId w:val="1"/>
              </w:numPr>
              <w:pBdr>
                <w:top w:val="nil"/>
                <w:left w:val="nil"/>
                <w:bottom w:val="nil"/>
                <w:right w:val="nil"/>
                <w:between w:val="nil"/>
              </w:pBdr>
              <w:tabs>
                <w:tab w:val="left" w:pos="175"/>
              </w:tabs>
              <w:spacing w:before="120" w:after="120"/>
              <w:ind w:left="657" w:right="113"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7C86B28" w14:textId="77777777" w:rsidR="00302FCF" w:rsidRDefault="00D169D9" w:rsidP="00D169D9">
            <w:pPr>
              <w:numPr>
                <w:ilvl w:val="1"/>
                <w:numId w:val="1"/>
              </w:numPr>
              <w:pBdr>
                <w:top w:val="nil"/>
                <w:left w:val="nil"/>
                <w:bottom w:val="nil"/>
                <w:right w:val="nil"/>
                <w:between w:val="nil"/>
              </w:pBdr>
              <w:tabs>
                <w:tab w:val="left" w:pos="175"/>
              </w:tabs>
              <w:spacing w:before="120" w:after="120"/>
              <w:ind w:left="657" w:right="113"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14:paraId="37C86B29" w14:textId="77777777" w:rsidR="00302FCF" w:rsidRDefault="00D169D9" w:rsidP="00D169D9">
            <w:pPr>
              <w:numPr>
                <w:ilvl w:val="1"/>
                <w:numId w:val="1"/>
              </w:numPr>
              <w:pBdr>
                <w:top w:val="nil"/>
                <w:left w:val="nil"/>
                <w:bottom w:val="nil"/>
                <w:right w:val="nil"/>
                <w:between w:val="nil"/>
              </w:pBdr>
              <w:tabs>
                <w:tab w:val="left" w:pos="175"/>
              </w:tabs>
              <w:spacing w:before="120" w:after="120"/>
              <w:ind w:left="657" w:right="113" w:hanging="544"/>
              <w:jc w:val="left"/>
              <w:rPr>
                <w:rFonts w:ascii="Arial" w:eastAsia="Arial" w:hAnsi="Arial"/>
                <w:color w:val="000000"/>
                <w:sz w:val="24"/>
                <w:szCs w:val="24"/>
              </w:rPr>
            </w:pPr>
            <w:r>
              <w:rPr>
                <w:rFonts w:ascii="Arial" w:eastAsia="Arial" w:hAnsi="Arial"/>
                <w:color w:val="000000"/>
                <w:sz w:val="24"/>
                <w:szCs w:val="24"/>
              </w:rPr>
              <w:t>any of the following:</w:t>
            </w:r>
          </w:p>
          <w:p w14:paraId="37C86B2A" w14:textId="77777777" w:rsidR="00302FCF" w:rsidRDefault="00D169D9" w:rsidP="00D169D9">
            <w:pPr>
              <w:numPr>
                <w:ilvl w:val="2"/>
                <w:numId w:val="1"/>
              </w:numPr>
              <w:pBdr>
                <w:top w:val="nil"/>
                <w:left w:val="nil"/>
                <w:bottom w:val="nil"/>
                <w:right w:val="nil"/>
                <w:between w:val="nil"/>
              </w:pBdr>
              <w:tabs>
                <w:tab w:val="left" w:pos="175"/>
              </w:tabs>
              <w:spacing w:before="120" w:after="120"/>
              <w:ind w:left="833" w:right="113" w:hanging="7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14:paraId="37C86B2B" w14:textId="77777777" w:rsidR="00302FCF" w:rsidRDefault="00D169D9" w:rsidP="00D169D9">
            <w:pPr>
              <w:numPr>
                <w:ilvl w:val="2"/>
                <w:numId w:val="1"/>
              </w:numPr>
              <w:pBdr>
                <w:top w:val="nil"/>
                <w:left w:val="nil"/>
                <w:bottom w:val="nil"/>
                <w:right w:val="nil"/>
                <w:between w:val="nil"/>
              </w:pBdr>
              <w:tabs>
                <w:tab w:val="left" w:pos="175"/>
              </w:tabs>
              <w:spacing w:before="120" w:after="120"/>
              <w:ind w:left="833" w:right="113" w:hanging="7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7C86B2C" w14:textId="77777777" w:rsidR="00302FCF" w:rsidRDefault="00D169D9" w:rsidP="00D169D9">
            <w:pPr>
              <w:numPr>
                <w:ilvl w:val="2"/>
                <w:numId w:val="1"/>
              </w:numPr>
              <w:pBdr>
                <w:top w:val="nil"/>
                <w:left w:val="nil"/>
                <w:bottom w:val="nil"/>
                <w:right w:val="nil"/>
                <w:between w:val="nil"/>
              </w:pBdr>
              <w:tabs>
                <w:tab w:val="left" w:pos="175"/>
              </w:tabs>
              <w:spacing w:before="120" w:after="120"/>
              <w:ind w:left="833" w:right="113" w:hanging="7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37C86B2D" w14:textId="77777777" w:rsidR="00302FCF" w:rsidRDefault="00D169D9" w:rsidP="00D169D9">
            <w:pPr>
              <w:numPr>
                <w:ilvl w:val="2"/>
                <w:numId w:val="1"/>
              </w:numPr>
              <w:pBdr>
                <w:top w:val="nil"/>
                <w:left w:val="nil"/>
                <w:bottom w:val="nil"/>
                <w:right w:val="nil"/>
                <w:between w:val="nil"/>
              </w:pBdr>
              <w:tabs>
                <w:tab w:val="left" w:pos="175"/>
              </w:tabs>
              <w:spacing w:before="120" w:after="120"/>
              <w:ind w:left="833" w:right="113" w:hanging="720"/>
              <w:jc w:val="left"/>
              <w:rPr>
                <w:rFonts w:ascii="Arial" w:eastAsia="Arial" w:hAnsi="Arial"/>
                <w:color w:val="000000"/>
                <w:sz w:val="24"/>
                <w:szCs w:val="24"/>
              </w:rPr>
            </w:pPr>
            <w:r>
              <w:rPr>
                <w:rFonts w:ascii="Arial" w:eastAsia="Arial" w:hAnsi="Arial"/>
                <w:color w:val="000000"/>
                <w:sz w:val="24"/>
                <w:szCs w:val="24"/>
              </w:rPr>
              <w:t>the cancellati</w:t>
            </w:r>
            <w:r>
              <w:rPr>
                <w:rFonts w:ascii="Arial" w:eastAsia="Arial" w:hAnsi="Arial"/>
                <w:color w:val="000000"/>
                <w:sz w:val="24"/>
                <w:szCs w:val="24"/>
              </w:rPr>
              <w:t>on or suspension of any financial indebtedness in respect of the Monitored Company</w:t>
            </w:r>
          </w:p>
          <w:p w14:paraId="37C86B2E" w14:textId="77777777" w:rsidR="00302FCF" w:rsidRDefault="00D169D9" w:rsidP="00D169D9">
            <w:pPr>
              <w:numPr>
                <w:ilvl w:val="0"/>
                <w:numId w:val="1"/>
              </w:numPr>
              <w:pBdr>
                <w:top w:val="nil"/>
                <w:left w:val="nil"/>
                <w:bottom w:val="nil"/>
                <w:right w:val="nil"/>
                <w:between w:val="nil"/>
              </w:pBdr>
              <w:tabs>
                <w:tab w:val="left" w:pos="175"/>
              </w:tabs>
              <w:spacing w:before="120" w:after="120"/>
              <w:ind w:left="113" w:right="113"/>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302FCF" w14:paraId="37C86B32" w14:textId="77777777" w:rsidTr="00D169D9">
        <w:tc>
          <w:tcPr>
            <w:tcW w:w="2268" w:type="dxa"/>
          </w:tcPr>
          <w:p w14:paraId="37C86B30" w14:textId="77777777" w:rsidR="00302FCF" w:rsidRDefault="00D169D9" w:rsidP="00D169D9">
            <w:pPr>
              <w:pBdr>
                <w:top w:val="nil"/>
                <w:left w:val="nil"/>
                <w:bottom w:val="nil"/>
                <w:right w:val="nil"/>
                <w:between w:val="nil"/>
              </w:pBdr>
              <w:spacing w:before="120" w:after="120"/>
              <w:ind w:left="113" w:right="113"/>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6305" w:type="dxa"/>
          </w:tcPr>
          <w:p w14:paraId="37C86B31" w14:textId="77777777" w:rsidR="00302FCF" w:rsidRDefault="00D169D9" w:rsidP="00D169D9">
            <w:pPr>
              <w:numPr>
                <w:ilvl w:val="0"/>
                <w:numId w:val="1"/>
              </w:numPr>
              <w:pBdr>
                <w:top w:val="nil"/>
                <w:left w:val="nil"/>
                <w:bottom w:val="nil"/>
                <w:right w:val="nil"/>
                <w:between w:val="nil"/>
              </w:pBdr>
              <w:tabs>
                <w:tab w:val="left" w:pos="175"/>
              </w:tabs>
              <w:spacing w:before="120" w:after="120"/>
              <w:ind w:left="113" w:right="113"/>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302FCF" w14:paraId="37C86B35" w14:textId="77777777" w:rsidTr="00D169D9">
        <w:tc>
          <w:tcPr>
            <w:tcW w:w="2268" w:type="dxa"/>
          </w:tcPr>
          <w:p w14:paraId="37C86B33" w14:textId="77777777" w:rsidR="00302FCF" w:rsidRDefault="00D169D9" w:rsidP="00D169D9">
            <w:pPr>
              <w:pBdr>
                <w:top w:val="nil"/>
                <w:left w:val="nil"/>
                <w:bottom w:val="nil"/>
                <w:right w:val="nil"/>
                <w:between w:val="nil"/>
              </w:pBdr>
              <w:spacing w:before="120" w:after="120"/>
              <w:ind w:left="113" w:right="113"/>
              <w:jc w:val="left"/>
              <w:rPr>
                <w:rFonts w:ascii="Arial" w:eastAsia="Arial" w:hAnsi="Arial"/>
                <w:b/>
                <w:color w:val="000000"/>
                <w:sz w:val="24"/>
                <w:szCs w:val="24"/>
              </w:rPr>
            </w:pPr>
            <w:r>
              <w:rPr>
                <w:rFonts w:ascii="Arial" w:eastAsia="Arial" w:hAnsi="Arial"/>
                <w:b/>
                <w:color w:val="000000"/>
                <w:sz w:val="24"/>
                <w:szCs w:val="24"/>
              </w:rPr>
              <w:t>“Monit</w:t>
            </w:r>
            <w:r>
              <w:rPr>
                <w:rFonts w:ascii="Arial" w:eastAsia="Arial" w:hAnsi="Arial"/>
                <w:b/>
                <w:color w:val="000000"/>
                <w:sz w:val="24"/>
                <w:szCs w:val="24"/>
              </w:rPr>
              <w:t>ored Company”</w:t>
            </w:r>
          </w:p>
        </w:tc>
        <w:tc>
          <w:tcPr>
            <w:tcW w:w="6305" w:type="dxa"/>
          </w:tcPr>
          <w:p w14:paraId="37C86B34" w14:textId="77777777" w:rsidR="00302FCF" w:rsidRDefault="00D169D9" w:rsidP="00D169D9">
            <w:pPr>
              <w:numPr>
                <w:ilvl w:val="0"/>
                <w:numId w:val="1"/>
              </w:numPr>
              <w:pBdr>
                <w:top w:val="nil"/>
                <w:left w:val="nil"/>
                <w:bottom w:val="nil"/>
                <w:right w:val="nil"/>
                <w:between w:val="nil"/>
              </w:pBdr>
              <w:tabs>
                <w:tab w:val="left" w:pos="175"/>
              </w:tabs>
              <w:spacing w:before="120" w:after="120"/>
              <w:ind w:left="113" w:right="113"/>
              <w:jc w:val="left"/>
              <w:rPr>
                <w:rFonts w:ascii="Arial" w:eastAsia="Arial" w:hAnsi="Arial"/>
                <w:color w:val="000000"/>
                <w:sz w:val="24"/>
                <w:szCs w:val="24"/>
              </w:rPr>
            </w:pPr>
            <w:r>
              <w:rPr>
                <w:rFonts w:ascii="Arial" w:eastAsia="Arial" w:hAnsi="Arial"/>
                <w:color w:val="000000"/>
                <w:sz w:val="24"/>
                <w:szCs w:val="24"/>
              </w:rPr>
              <w:t>Supplier or any Key Subcontractor</w:t>
            </w:r>
          </w:p>
        </w:tc>
      </w:tr>
      <w:tr w:rsidR="00302FCF" w14:paraId="37C86B38" w14:textId="77777777" w:rsidTr="00D169D9">
        <w:tc>
          <w:tcPr>
            <w:tcW w:w="2268" w:type="dxa"/>
          </w:tcPr>
          <w:p w14:paraId="37C86B36" w14:textId="77777777" w:rsidR="00302FCF" w:rsidRDefault="00D169D9" w:rsidP="00D169D9">
            <w:pPr>
              <w:pBdr>
                <w:top w:val="nil"/>
                <w:left w:val="nil"/>
                <w:bottom w:val="nil"/>
                <w:right w:val="nil"/>
                <w:between w:val="nil"/>
              </w:pBdr>
              <w:spacing w:before="120" w:after="120"/>
              <w:ind w:left="113" w:right="113"/>
              <w:jc w:val="left"/>
              <w:rPr>
                <w:rFonts w:ascii="Arial" w:eastAsia="Arial" w:hAnsi="Arial"/>
                <w:b/>
                <w:color w:val="000000"/>
                <w:sz w:val="24"/>
                <w:szCs w:val="24"/>
              </w:rPr>
            </w:pPr>
            <w:r>
              <w:rPr>
                <w:rFonts w:ascii="Arial" w:eastAsia="Arial" w:hAnsi="Arial"/>
                <w:b/>
                <w:color w:val="000000"/>
                <w:sz w:val="24"/>
                <w:szCs w:val="24"/>
              </w:rPr>
              <w:t>"Rating Agencies"</w:t>
            </w:r>
          </w:p>
        </w:tc>
        <w:tc>
          <w:tcPr>
            <w:tcW w:w="6305" w:type="dxa"/>
          </w:tcPr>
          <w:p w14:paraId="37C86B37" w14:textId="77777777" w:rsidR="00302FCF" w:rsidRDefault="00D169D9" w:rsidP="00D169D9">
            <w:pPr>
              <w:numPr>
                <w:ilvl w:val="0"/>
                <w:numId w:val="1"/>
              </w:numPr>
              <w:pBdr>
                <w:top w:val="nil"/>
                <w:left w:val="nil"/>
                <w:bottom w:val="nil"/>
                <w:right w:val="nil"/>
                <w:between w:val="nil"/>
              </w:pBdr>
              <w:tabs>
                <w:tab w:val="left" w:pos="175"/>
              </w:tabs>
              <w:spacing w:before="120" w:after="120"/>
              <w:ind w:left="113" w:right="113"/>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37C86B39" w14:textId="77777777" w:rsidR="00302FCF" w:rsidRDefault="00D169D9" w:rsidP="00D169D9">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t>W</w:t>
      </w:r>
      <w:r>
        <w:rPr>
          <w:rFonts w:ascii="Arial Bold" w:eastAsia="Arial Bold" w:hAnsi="Arial Bold" w:cs="Arial Bold"/>
          <w:b/>
          <w:color w:val="000000"/>
          <w:sz w:val="24"/>
          <w:szCs w:val="24"/>
        </w:rPr>
        <w:t>hen this Schedule applies</w:t>
      </w:r>
    </w:p>
    <w:p w14:paraId="37C86B3A"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37C86B3B"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37C86B3C"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w:t>
      </w:r>
      <w:r>
        <w:rPr>
          <w:rFonts w:ascii="Arial" w:eastAsia="Arial" w:hAnsi="Arial"/>
          <w:color w:val="000000"/>
          <w:sz w:val="24"/>
          <w:szCs w:val="24"/>
        </w:rPr>
        <w:t>er the Framework Contract until the later of (a) the termination or expiry of the Framework Contract or (b) the latest date of termination or expiry of any call-off contract entered into under the Framework Contract (which might be after the date of termin</w:t>
      </w:r>
      <w:r>
        <w:rPr>
          <w:rFonts w:ascii="Arial" w:eastAsia="Arial" w:hAnsi="Arial"/>
          <w:color w:val="000000"/>
          <w:sz w:val="24"/>
          <w:szCs w:val="24"/>
        </w:rPr>
        <w:t>ation or expiry of the Framework Contract); and</w:t>
      </w:r>
    </w:p>
    <w:p w14:paraId="37C86B3D"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37C86B3E" w14:textId="77777777" w:rsidR="00302FCF" w:rsidRDefault="00D169D9" w:rsidP="00D169D9">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37C86B3F"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w:t>
      </w:r>
      <w:r>
        <w:rPr>
          <w:rFonts w:ascii="Arial" w:eastAsia="Arial" w:hAnsi="Arial"/>
          <w:color w:val="000000"/>
          <w:sz w:val="24"/>
          <w:szCs w:val="24"/>
        </w:rPr>
        <w:t>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37C86B40"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w:t>
      </w:r>
      <w:r>
        <w:rPr>
          <w:rFonts w:ascii="Arial" w:eastAsia="Arial" w:hAnsi="Arial"/>
          <w:color w:val="000000"/>
          <w:sz w:val="24"/>
          <w:szCs w:val="24"/>
        </w:rPr>
        <w:t>ting issued by any Rating Agency for a Monitored Company.</w:t>
      </w:r>
    </w:p>
    <w:p w14:paraId="37C86B41"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w:t>
      </w:r>
      <w:r>
        <w:rPr>
          <w:rFonts w:ascii="Arial" w:eastAsia="Arial" w:hAnsi="Arial"/>
          <w:color w:val="000000"/>
          <w:sz w:val="24"/>
          <w:szCs w:val="24"/>
        </w:rPr>
        <w:t>ng Days of written request by CCS (such requests not to exceed 4 in any Contract Year) with written calculations of the quick ratio for the Monitored Company as at the end of each Contract Year or such other date as may be requested by CCS.  For these purp</w:t>
      </w:r>
      <w:r>
        <w:rPr>
          <w:rFonts w:ascii="Arial" w:eastAsia="Arial" w:hAnsi="Arial"/>
          <w:color w:val="000000"/>
          <w:sz w:val="24"/>
          <w:szCs w:val="24"/>
        </w:rPr>
        <w:t>oses the "quick ratio" on any date means:</w:t>
      </w:r>
    </w:p>
    <w:p w14:paraId="37C86B42" w14:textId="77777777" w:rsidR="00302FCF" w:rsidRDefault="00D169D9" w:rsidP="00D169D9">
      <w:pPr>
        <w:spacing w:before="120" w:after="120"/>
        <w:ind w:firstLine="1134"/>
        <w:jc w:val="left"/>
        <w:rPr>
          <w:rFonts w:ascii="Arial" w:eastAsia="Arial" w:hAnsi="Arial"/>
          <w:sz w:val="24"/>
          <w:szCs w:val="24"/>
        </w:rPr>
      </w:pPr>
      <w:r>
        <w:rPr>
          <w:rFonts w:ascii="Arial" w:eastAsia="Arial" w:hAnsi="Arial"/>
          <w:noProof/>
          <w:sz w:val="24"/>
          <w:szCs w:val="24"/>
        </w:rPr>
        <w:drawing>
          <wp:inline distT="0" distB="0" distL="0" distR="0" wp14:anchorId="37C86B82" wp14:editId="37C86B83">
            <wp:extent cx="609600" cy="163195"/>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37C86B84" wp14:editId="37C86B85">
            <wp:extent cx="609600" cy="31559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37C86B43" w14:textId="77777777" w:rsidR="00302FCF" w:rsidRDefault="00D169D9" w:rsidP="00D169D9">
      <w:pPr>
        <w:pBdr>
          <w:top w:val="nil"/>
          <w:left w:val="nil"/>
          <w:bottom w:val="nil"/>
          <w:right w:val="nil"/>
          <w:between w:val="nil"/>
        </w:pBdr>
        <w:tabs>
          <w:tab w:val="left" w:pos="3402"/>
        </w:tabs>
        <w:spacing w:before="120" w:after="120"/>
        <w:ind w:left="720"/>
        <w:jc w:val="left"/>
        <w:rPr>
          <w:rFonts w:ascii="Arial" w:eastAsia="Arial" w:hAnsi="Arial"/>
          <w:color w:val="000000"/>
          <w:sz w:val="24"/>
          <w:szCs w:val="24"/>
        </w:rPr>
      </w:pPr>
      <w:r>
        <w:rPr>
          <w:rFonts w:ascii="Arial" w:eastAsia="Arial" w:hAnsi="Arial"/>
          <w:color w:val="000000"/>
          <w:sz w:val="24"/>
          <w:szCs w:val="24"/>
        </w:rPr>
        <w:t>where:</w:t>
      </w:r>
    </w:p>
    <w:tbl>
      <w:tblPr>
        <w:tblStyle w:val="a3"/>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302FCF" w14:paraId="37C86B46" w14:textId="77777777">
        <w:tc>
          <w:tcPr>
            <w:tcW w:w="1524" w:type="dxa"/>
          </w:tcPr>
          <w:p w14:paraId="37C86B44"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color w:val="000000"/>
                <w:sz w:val="24"/>
                <w:szCs w:val="24"/>
              </w:rPr>
            </w:pPr>
            <w:r>
              <w:rPr>
                <w:rFonts w:ascii="Arial" w:eastAsia="Arial" w:hAnsi="Arial"/>
                <w:color w:val="000000"/>
                <w:sz w:val="24"/>
                <w:szCs w:val="24"/>
              </w:rPr>
              <w:lastRenderedPageBreak/>
              <w:t>A</w:t>
            </w:r>
          </w:p>
        </w:tc>
        <w:tc>
          <w:tcPr>
            <w:tcW w:w="6793" w:type="dxa"/>
          </w:tcPr>
          <w:p w14:paraId="37C86B45"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302FCF" w14:paraId="37C86B49" w14:textId="77777777">
        <w:tc>
          <w:tcPr>
            <w:tcW w:w="1524" w:type="dxa"/>
          </w:tcPr>
          <w:p w14:paraId="37C86B47"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37C86B48"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302FCF" w14:paraId="37C86B4C" w14:textId="77777777">
        <w:tc>
          <w:tcPr>
            <w:tcW w:w="1524" w:type="dxa"/>
          </w:tcPr>
          <w:p w14:paraId="37C86B4A"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37C86B4B"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302FCF" w14:paraId="37C86B4F" w14:textId="77777777">
        <w:tc>
          <w:tcPr>
            <w:tcW w:w="1524" w:type="dxa"/>
          </w:tcPr>
          <w:p w14:paraId="37C86B4D"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37C86B4E" w14:textId="77777777" w:rsidR="00302FCF" w:rsidRDefault="00D169D9" w:rsidP="00D169D9">
            <w:pPr>
              <w:pBdr>
                <w:top w:val="nil"/>
                <w:left w:val="nil"/>
                <w:bottom w:val="nil"/>
                <w:right w:val="nil"/>
                <w:between w:val="nil"/>
              </w:pBdr>
              <w:tabs>
                <w:tab w:val="left" w:pos="3402"/>
              </w:tabs>
              <w:spacing w:before="120" w:after="1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37C86B50" w14:textId="77777777" w:rsidR="00302FCF" w:rsidRDefault="00D169D9" w:rsidP="00D169D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14:paraId="37C86B51"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37C86B52"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14:paraId="37C86B53"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14:paraId="37C86B54" w14:textId="77777777" w:rsidR="00302FCF" w:rsidRDefault="00D169D9" w:rsidP="00D169D9">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37C86B55"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ascii="Arial" w:eastAsia="Arial" w:hAnsi="Arial"/>
          <w:color w:val="000000"/>
          <w:sz w:val="24"/>
          <w:szCs w:val="24"/>
        </w:rPr>
        <w:t>r shall have the obligations and CCS shall have the rights and remedies as set out in Paragraphs 4.3 to 4.6.</w:t>
      </w:r>
    </w:p>
    <w:p w14:paraId="37C86B56"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the event that a Financial Distress Event arises due to a Key Subcontractor notifying CCS that the Supplier has not satisfied any sums properly </w:t>
      </w:r>
      <w:r>
        <w:rPr>
          <w:rFonts w:ascii="Arial" w:eastAsia="Arial" w:hAnsi="Arial"/>
          <w:color w:val="000000"/>
          <w:sz w:val="24"/>
          <w:szCs w:val="24"/>
        </w:rPr>
        <w:t>due under a specified invoice and not subject to a genuine dispute then, CCS shall not exercise any of its rights or remedies under Paragraph 4.3 without first giving the Supplier ten (10) Working Days to:</w:t>
      </w:r>
    </w:p>
    <w:p w14:paraId="37C86B57"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37C86B58"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demonstrate </w:t>
      </w:r>
      <w:r>
        <w:rPr>
          <w:rFonts w:ascii="Arial" w:eastAsia="Arial" w:hAnsi="Arial"/>
          <w:color w:val="000000"/>
          <w:sz w:val="24"/>
          <w:szCs w:val="24"/>
        </w:rPr>
        <w:t>to CCS's reasonable satisfaction that there is a valid reason for late or non-payment.</w:t>
      </w:r>
    </w:p>
    <w:p w14:paraId="37C86B59" w14:textId="77777777" w:rsidR="00302FCF" w:rsidRDefault="00D169D9" w:rsidP="00D169D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lastRenderedPageBreak/>
        <w:t>The Supplier shall and shall procure that the other Monitored Companies shall:</w:t>
      </w:r>
    </w:p>
    <w:p w14:paraId="37C86B5A"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olor w:val="000000"/>
          <w:sz w:val="24"/>
          <w:szCs w:val="24"/>
        </w:rPr>
        <w:t>ed performance of each Contract and delivery of the Deliverables in accordance each Call-Off Contract; and</w:t>
      </w:r>
    </w:p>
    <w:p w14:paraId="37C86B5B"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w:t>
      </w:r>
      <w:r>
        <w:rPr>
          <w:rFonts w:ascii="Arial" w:eastAsia="Arial" w:hAnsi="Arial"/>
          <w:color w:val="000000"/>
          <w:sz w:val="24"/>
          <w:szCs w:val="24"/>
        </w:rPr>
        <w:t xml:space="preserve">ent could impact on the continued performance of each Contract and delivery of the Deliverables in accordance with each Call-Off Contract: </w:t>
      </w:r>
    </w:p>
    <w:p w14:paraId="37C86B5C" w14:textId="77777777" w:rsidR="00302FCF" w:rsidRDefault="00D169D9" w:rsidP="00D169D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w:t>
      </w:r>
      <w:r>
        <w:rPr>
          <w:rFonts w:ascii="Arial" w:eastAsia="Arial" w:hAnsi="Arial"/>
          <w:color w:val="000000"/>
          <w:sz w:val="24"/>
          <w:szCs w:val="24"/>
        </w:rPr>
        <w:t xml:space="preserve"> (and in any event, within ten (10) Working Days of the initial notification (or awareness) of the Financial Distress Event); and</w:t>
      </w:r>
    </w:p>
    <w:p w14:paraId="37C86B5D" w14:textId="77777777" w:rsidR="00302FCF" w:rsidRDefault="00D169D9" w:rsidP="00D169D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provide such financial information relating to the Monitored Company as CCS may reasonably require.</w:t>
      </w:r>
    </w:p>
    <w:p w14:paraId="37C86B5E"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37C86B5F"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w:t>
      </w:r>
      <w:r>
        <w:rPr>
          <w:rFonts w:ascii="Arial" w:eastAsia="Arial" w:hAnsi="Arial"/>
          <w:color w:val="000000"/>
          <w:sz w:val="24"/>
          <w:szCs w:val="24"/>
        </w:rPr>
        <w:t xml:space="preserve"> period for the development and agreement of the Financial Distress Service Continuity Plan or escalate any issues with the draft Financial Distress Service Continuity Plan using the Dispute Resolution Procedure. </w:t>
      </w:r>
    </w:p>
    <w:p w14:paraId="37C86B60" w14:textId="77777777" w:rsidR="00302FCF" w:rsidRDefault="00D169D9" w:rsidP="00D169D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Following Approval of the Financial Distre</w:t>
      </w:r>
      <w:r>
        <w:rPr>
          <w:rFonts w:ascii="Arial" w:eastAsia="Arial" w:hAnsi="Arial"/>
          <w:color w:val="000000"/>
          <w:sz w:val="24"/>
          <w:szCs w:val="24"/>
        </w:rPr>
        <w:t>ss Service Continuity Plan by CCS, the Supplier shall:</w:t>
      </w:r>
    </w:p>
    <w:p w14:paraId="37C86B61"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w:t>
      </w:r>
      <w:r>
        <w:rPr>
          <w:rFonts w:ascii="Arial" w:eastAsia="Arial" w:hAnsi="Arial"/>
          <w:color w:val="000000"/>
          <w:sz w:val="24"/>
          <w:szCs w:val="24"/>
        </w:rPr>
        <w:t>e each Contract and delivery of the Deliverables in accordance with each Call-Off Contract;</w:t>
      </w:r>
    </w:p>
    <w:p w14:paraId="37C86B62"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w:t>
      </w:r>
      <w:r>
        <w:rPr>
          <w:rFonts w:ascii="Arial" w:eastAsia="Arial" w:hAnsi="Arial"/>
          <w:color w:val="000000"/>
          <w:sz w:val="24"/>
          <w:szCs w:val="24"/>
        </w:rPr>
        <w:t xml:space="preserve">Continuity Plan to CCS for its Approval, and the provisions of Paragraphs 4.5 </w:t>
      </w:r>
      <w:r>
        <w:rPr>
          <w:rFonts w:ascii="Arial" w:eastAsia="Arial" w:hAnsi="Arial"/>
          <w:color w:val="000000"/>
          <w:sz w:val="24"/>
          <w:szCs w:val="24"/>
        </w:rPr>
        <w:lastRenderedPageBreak/>
        <w:t xml:space="preserve">and 4.6 shall apply to the review and Approval process for the updated Financial Distress Service Continuity Plan; and </w:t>
      </w:r>
    </w:p>
    <w:p w14:paraId="37C86B63"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comply with the Financial Distress Service Continuity Plan</w:t>
      </w:r>
      <w:r>
        <w:rPr>
          <w:rFonts w:ascii="Arial" w:eastAsia="Arial" w:hAnsi="Arial"/>
          <w:color w:val="000000"/>
          <w:sz w:val="24"/>
          <w:szCs w:val="24"/>
        </w:rPr>
        <w:t xml:space="preserve"> (including any updated Financial Distress Service Continuity Plan).</w:t>
      </w:r>
    </w:p>
    <w:p w14:paraId="37C86B64"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w:t>
      </w:r>
      <w:r>
        <w:rPr>
          <w:rFonts w:ascii="Arial" w:eastAsia="Arial" w:hAnsi="Arial"/>
          <w:color w:val="000000"/>
          <w:sz w:val="24"/>
          <w:szCs w:val="24"/>
        </w:rPr>
        <w:t xml:space="preserve"> CCS and subject to the agreement of the Parties, the Supplier may be relieved of its obligations under Paragraph 4.64.6. </w:t>
      </w:r>
    </w:p>
    <w:p w14:paraId="37C86B65"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37C86B66" w14:textId="77777777" w:rsidR="00302FCF" w:rsidRDefault="00D169D9" w:rsidP="00D169D9">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37C86B67" w14:textId="77777777" w:rsidR="00302FCF" w:rsidRDefault="00D169D9" w:rsidP="00D169D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CCS shall be enti</w:t>
      </w:r>
      <w:r>
        <w:rPr>
          <w:rFonts w:ascii="Arial" w:eastAsia="Arial" w:hAnsi="Arial"/>
          <w:color w:val="000000"/>
          <w:sz w:val="24"/>
          <w:szCs w:val="24"/>
        </w:rPr>
        <w:t xml:space="preserve">tled to terminate this Contract and Buyers shall be entitled to terminate their Call-Off Contracts for material Default if: </w:t>
      </w:r>
    </w:p>
    <w:p w14:paraId="37C86B68"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37C86B69"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37C86B6A"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w:t>
      </w:r>
      <w:r>
        <w:rPr>
          <w:rFonts w:ascii="Arial" w:eastAsia="Arial" w:hAnsi="Arial"/>
          <w:color w:val="000000"/>
          <w:sz w:val="24"/>
          <w:szCs w:val="24"/>
        </w:rPr>
        <w:t>ss Service Continuity Plan (or any updated Financial Distress Service Continuity Plan) in accordance with Paragraph 4.6.3.</w:t>
      </w:r>
    </w:p>
    <w:p w14:paraId="37C86B6B" w14:textId="77777777" w:rsidR="00302FCF" w:rsidRDefault="00D169D9" w:rsidP="00D169D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w:t>
      </w:r>
      <w:r>
        <w:rPr>
          <w:rFonts w:ascii="Arial" w:eastAsia="Arial" w:hAnsi="Arial"/>
          <w:color w:val="000000"/>
          <w:sz w:val="24"/>
          <w:szCs w:val="24"/>
        </w:rPr>
        <w:t>tract had been terminated under Clause 10.4.1.</w:t>
      </w:r>
    </w:p>
    <w:p w14:paraId="37C86B6C" w14:textId="77777777" w:rsidR="00302FCF" w:rsidRDefault="00D169D9" w:rsidP="00D169D9">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bookmarkStart w:id="19" w:name="_heading=h.z337ya" w:colFirst="0" w:colLast="0"/>
      <w:bookmarkEnd w:id="19"/>
      <w:r>
        <w:rPr>
          <w:rFonts w:ascii="Arial Bold" w:eastAsia="Arial Bold" w:hAnsi="Arial Bold" w:cs="Arial Bold"/>
          <w:b/>
          <w:color w:val="000000"/>
          <w:sz w:val="24"/>
          <w:szCs w:val="24"/>
        </w:rPr>
        <w:t>What happens If your credit rating is still good</w:t>
      </w:r>
    </w:p>
    <w:p w14:paraId="37C86B6D" w14:textId="77777777" w:rsidR="00302FCF" w:rsidRDefault="00D169D9" w:rsidP="00D169D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14:paraId="37C86B6E"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7C86B6F" w14:textId="77777777" w:rsidR="00302FCF" w:rsidRDefault="00D169D9" w:rsidP="00D169D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accordance with Para</w:t>
      </w:r>
      <w:r>
        <w:rPr>
          <w:rFonts w:ascii="Arial" w:eastAsia="Arial" w:hAnsi="Arial"/>
          <w:color w:val="000000"/>
          <w:sz w:val="24"/>
          <w:szCs w:val="24"/>
        </w:rPr>
        <w:t xml:space="preserve">graph 4.3.2(b). </w:t>
      </w:r>
    </w:p>
    <w:p w14:paraId="17FBFD27" w14:textId="77777777" w:rsidR="00D169D9" w:rsidRDefault="00D169D9" w:rsidP="00D169D9">
      <w:pPr>
        <w:keepNext/>
        <w:pBdr>
          <w:top w:val="nil"/>
          <w:left w:val="nil"/>
          <w:bottom w:val="nil"/>
          <w:right w:val="nil"/>
          <w:between w:val="nil"/>
        </w:pBdr>
        <w:spacing w:before="120" w:after="120"/>
        <w:jc w:val="left"/>
        <w:rPr>
          <w:rFonts w:ascii="Arial" w:eastAsia="Arial" w:hAnsi="Arial"/>
          <w:b/>
          <w:smallCaps/>
          <w:color w:val="000000"/>
          <w:sz w:val="36"/>
          <w:szCs w:val="36"/>
        </w:rPr>
      </w:pPr>
      <w:bookmarkStart w:id="20" w:name="_heading=h.3j2qqm3" w:colFirst="0" w:colLast="0"/>
      <w:bookmarkStart w:id="21" w:name="_heading=h.1y810tw" w:colFirst="0" w:colLast="0"/>
      <w:bookmarkEnd w:id="20"/>
      <w:bookmarkEnd w:id="21"/>
    </w:p>
    <w:p w14:paraId="37C86B72" w14:textId="0B35549F" w:rsidR="00302FCF" w:rsidRDefault="00D169D9" w:rsidP="00D169D9">
      <w:pPr>
        <w:keepNext/>
        <w:pBdr>
          <w:top w:val="nil"/>
          <w:left w:val="nil"/>
          <w:bottom w:val="nil"/>
          <w:right w:val="nil"/>
          <w:between w:val="nil"/>
        </w:pBdr>
        <w:spacing w:before="120" w:after="120"/>
        <w:jc w:val="left"/>
        <w:rPr>
          <w:rFonts w:ascii="Arial" w:eastAsia="Arial" w:hAnsi="Arial"/>
          <w:b/>
          <w:smallCaps/>
          <w:color w:val="000000"/>
          <w:sz w:val="36"/>
          <w:szCs w:val="36"/>
        </w:rPr>
      </w:pPr>
      <w:r>
        <w:rPr>
          <w:rFonts w:ascii="Arial" w:eastAsia="Arial" w:hAnsi="Arial"/>
          <w:b/>
          <w:smallCaps/>
          <w:color w:val="000000"/>
          <w:sz w:val="36"/>
          <w:szCs w:val="36"/>
        </w:rPr>
        <w:t>ANNEX 1: RATING AGENCIES</w:t>
      </w:r>
    </w:p>
    <w:p w14:paraId="37C86B73" w14:textId="77777777" w:rsidR="00302FCF" w:rsidRDefault="00D169D9" w:rsidP="00D169D9">
      <w:pPr>
        <w:keepNext/>
        <w:spacing w:before="120" w:after="120"/>
        <w:jc w:val="left"/>
        <w:rPr>
          <w:rFonts w:ascii="Arial" w:eastAsia="Arial" w:hAnsi="Arial"/>
          <w:sz w:val="24"/>
          <w:szCs w:val="24"/>
        </w:rPr>
      </w:pPr>
      <w:r>
        <w:rPr>
          <w:rFonts w:ascii="Arial" w:eastAsia="Arial" w:hAnsi="Arial"/>
          <w:sz w:val="24"/>
          <w:szCs w:val="24"/>
        </w:rPr>
        <w:t>Dun &amp; Bradstreet</w:t>
      </w:r>
    </w:p>
    <w:p w14:paraId="6A1D35AB" w14:textId="77777777" w:rsidR="00D169D9" w:rsidRDefault="00D169D9" w:rsidP="00D169D9">
      <w:pPr>
        <w:keepNext/>
        <w:pBdr>
          <w:top w:val="nil"/>
          <w:left w:val="nil"/>
          <w:bottom w:val="nil"/>
          <w:right w:val="nil"/>
          <w:between w:val="nil"/>
        </w:pBdr>
        <w:spacing w:before="120" w:after="120"/>
        <w:jc w:val="left"/>
        <w:rPr>
          <w:rFonts w:ascii="Arial" w:eastAsia="Arial" w:hAnsi="Arial"/>
          <w:sz w:val="24"/>
          <w:szCs w:val="24"/>
        </w:rPr>
      </w:pPr>
      <w:bookmarkStart w:id="22" w:name="_heading=h.4i7ojhp" w:colFirst="0" w:colLast="0"/>
      <w:bookmarkEnd w:id="22"/>
    </w:p>
    <w:p w14:paraId="37C86B75" w14:textId="56D2A553" w:rsidR="00302FCF" w:rsidRDefault="00D169D9" w:rsidP="00D169D9">
      <w:pPr>
        <w:keepNext/>
        <w:pBdr>
          <w:top w:val="nil"/>
          <w:left w:val="nil"/>
          <w:bottom w:val="nil"/>
          <w:right w:val="nil"/>
          <w:between w:val="nil"/>
        </w:pBdr>
        <w:spacing w:before="120" w:after="120"/>
        <w:jc w:val="left"/>
        <w:rPr>
          <w:rFonts w:ascii="Arial" w:eastAsia="Arial" w:hAnsi="Arial"/>
          <w:b/>
          <w:smallCaps/>
          <w:color w:val="000000"/>
          <w:sz w:val="24"/>
          <w:szCs w:val="24"/>
        </w:rPr>
      </w:pPr>
      <w:r>
        <w:rPr>
          <w:rFonts w:ascii="Arial" w:eastAsia="Arial" w:hAnsi="Arial"/>
          <w:b/>
          <w:smallCaps/>
          <w:color w:val="000000"/>
          <w:sz w:val="36"/>
          <w:szCs w:val="36"/>
        </w:rPr>
        <w:t>ANNEX 2: CREDIT RATINGS &amp; CREDIT RATING THRESHOLDS</w:t>
      </w:r>
    </w:p>
    <w:p w14:paraId="37C86B76" w14:textId="77777777" w:rsidR="00302FCF" w:rsidRDefault="00D169D9" w:rsidP="00D169D9">
      <w:pPr>
        <w:keepNext/>
        <w:pBdr>
          <w:top w:val="nil"/>
          <w:left w:val="nil"/>
          <w:bottom w:val="nil"/>
          <w:right w:val="nil"/>
          <w:between w:val="nil"/>
        </w:pBdr>
        <w:spacing w:before="120" w:after="120"/>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4"/>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302FCF" w14:paraId="37C86B79" w14:textId="77777777">
        <w:tc>
          <w:tcPr>
            <w:tcW w:w="3080" w:type="dxa"/>
            <w:tcBorders>
              <w:top w:val="single" w:sz="4" w:space="0" w:color="000000"/>
            </w:tcBorders>
            <w:shd w:val="clear" w:color="auto" w:fill="FFFFFF"/>
          </w:tcPr>
          <w:p w14:paraId="37C86B77" w14:textId="77777777" w:rsidR="00302FCF" w:rsidRDefault="00D169D9" w:rsidP="00D169D9">
            <w:pPr>
              <w:keepNext/>
              <w:pBdr>
                <w:top w:val="nil"/>
                <w:left w:val="nil"/>
                <w:bottom w:val="nil"/>
                <w:right w:val="nil"/>
                <w:between w:val="nil"/>
              </w:pBdr>
              <w:spacing w:before="12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7C86B78" w14:textId="77777777" w:rsidR="00302FCF" w:rsidRDefault="00D169D9" w:rsidP="00D169D9">
            <w:pPr>
              <w:keepNext/>
              <w:pBdr>
                <w:top w:val="nil"/>
                <w:left w:val="nil"/>
                <w:bottom w:val="nil"/>
                <w:right w:val="nil"/>
                <w:between w:val="nil"/>
              </w:pBdr>
              <w:spacing w:before="12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302FCF" w14:paraId="37C86B7D" w14:textId="77777777">
        <w:tc>
          <w:tcPr>
            <w:tcW w:w="3080" w:type="dxa"/>
            <w:shd w:val="clear" w:color="auto" w:fill="FFFFFF"/>
          </w:tcPr>
          <w:p w14:paraId="37C86B7A" w14:textId="77777777" w:rsidR="00302FCF" w:rsidRDefault="00D169D9" w:rsidP="00D169D9">
            <w:pPr>
              <w:keepNext/>
              <w:pBdr>
                <w:top w:val="nil"/>
                <w:left w:val="nil"/>
                <w:bottom w:val="nil"/>
                <w:right w:val="nil"/>
                <w:between w:val="nil"/>
              </w:pBdr>
              <w:spacing w:before="12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37C86B7B" w14:textId="77777777" w:rsidR="00302FCF" w:rsidRDefault="00D169D9" w:rsidP="00D169D9">
            <w:pPr>
              <w:keepNext/>
              <w:spacing w:before="120" w:after="120"/>
              <w:ind w:left="140"/>
              <w:jc w:val="left"/>
              <w:rPr>
                <w:rFonts w:ascii="Arial" w:eastAsia="Arial" w:hAnsi="Arial"/>
                <w:sz w:val="24"/>
                <w:szCs w:val="24"/>
              </w:rPr>
            </w:pPr>
            <w:r>
              <w:rPr>
                <w:rFonts w:ascii="Arial" w:eastAsia="Arial" w:hAnsi="Arial"/>
                <w:sz w:val="24"/>
                <w:szCs w:val="24"/>
              </w:rPr>
              <w:t>Lot 1 - 45</w:t>
            </w:r>
          </w:p>
          <w:p w14:paraId="37C86B7C" w14:textId="77777777" w:rsidR="00302FCF" w:rsidRDefault="00302FCF" w:rsidP="00D169D9">
            <w:pPr>
              <w:keepNext/>
              <w:pBdr>
                <w:top w:val="nil"/>
                <w:left w:val="nil"/>
                <w:bottom w:val="nil"/>
                <w:right w:val="nil"/>
                <w:between w:val="nil"/>
              </w:pBdr>
              <w:spacing w:before="120" w:after="120"/>
              <w:jc w:val="left"/>
              <w:rPr>
                <w:rFonts w:ascii="Arial" w:eastAsia="Arial" w:hAnsi="Arial"/>
                <w:sz w:val="24"/>
                <w:szCs w:val="24"/>
              </w:rPr>
            </w:pPr>
          </w:p>
        </w:tc>
      </w:tr>
      <w:tr w:rsidR="00302FCF" w14:paraId="37C86B80" w14:textId="77777777">
        <w:tc>
          <w:tcPr>
            <w:tcW w:w="3080" w:type="dxa"/>
            <w:tcBorders>
              <w:bottom w:val="single" w:sz="4" w:space="0" w:color="000000"/>
            </w:tcBorders>
            <w:shd w:val="clear" w:color="auto" w:fill="FFFFFF"/>
          </w:tcPr>
          <w:p w14:paraId="37C86B7E" w14:textId="77777777" w:rsidR="00302FCF" w:rsidRDefault="00D169D9" w:rsidP="00D169D9">
            <w:pPr>
              <w:keepNext/>
              <w:pBdr>
                <w:top w:val="nil"/>
                <w:left w:val="nil"/>
                <w:bottom w:val="nil"/>
                <w:right w:val="nil"/>
                <w:between w:val="nil"/>
              </w:pBdr>
              <w:spacing w:before="120" w:after="120"/>
              <w:ind w:left="142"/>
              <w:jc w:val="left"/>
              <w:rPr>
                <w:rFonts w:ascii="Arial" w:eastAsia="Arial" w:hAnsi="Arial"/>
                <w:color w:val="000000"/>
                <w:sz w:val="24"/>
                <w:szCs w:val="24"/>
              </w:rPr>
            </w:pPr>
            <w:r>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37C86B7F" w14:textId="77777777" w:rsidR="00302FCF" w:rsidRDefault="00D169D9" w:rsidP="00D169D9">
            <w:pPr>
              <w:keepNext/>
              <w:spacing w:before="120" w:after="120"/>
              <w:ind w:left="140"/>
              <w:jc w:val="left"/>
              <w:rPr>
                <w:rFonts w:ascii="Arial" w:eastAsia="Arial" w:hAnsi="Arial"/>
                <w:color w:val="000000"/>
                <w:sz w:val="24"/>
                <w:szCs w:val="24"/>
              </w:rPr>
            </w:pPr>
            <w:r>
              <w:rPr>
                <w:rFonts w:ascii="Arial" w:eastAsia="Arial" w:hAnsi="Arial"/>
                <w:sz w:val="24"/>
                <w:szCs w:val="24"/>
              </w:rPr>
              <w:t>Lot 1 - 45</w:t>
            </w:r>
          </w:p>
        </w:tc>
      </w:tr>
    </w:tbl>
    <w:p w14:paraId="37C86B81" w14:textId="77777777" w:rsidR="00302FCF" w:rsidRDefault="00302FCF" w:rsidP="00D169D9">
      <w:pPr>
        <w:spacing w:before="120" w:after="120"/>
        <w:rPr>
          <w:rFonts w:ascii="Arial" w:eastAsia="Arial" w:hAnsi="Arial"/>
          <w:sz w:val="24"/>
          <w:szCs w:val="24"/>
        </w:rPr>
      </w:pPr>
    </w:p>
    <w:sectPr w:rsidR="00302FCF" w:rsidSect="00D169D9">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86B92" w14:textId="77777777" w:rsidR="00000000" w:rsidRDefault="00D169D9">
      <w:pPr>
        <w:spacing w:after="0"/>
      </w:pPr>
      <w:r>
        <w:separator/>
      </w:r>
    </w:p>
  </w:endnote>
  <w:endnote w:type="continuationSeparator" w:id="0">
    <w:p w14:paraId="37C86B94" w14:textId="77777777" w:rsidR="00000000" w:rsidRDefault="00D169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4C5A4" w14:textId="77777777" w:rsidR="00D169D9" w:rsidRDefault="00D16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86B88" w14:textId="77777777" w:rsidR="00302FCF" w:rsidRDefault="00D169D9">
    <w:pPr>
      <w:tabs>
        <w:tab w:val="center" w:pos="4513"/>
        <w:tab w:val="right" w:pos="9026"/>
      </w:tabs>
      <w:spacing w:after="0"/>
      <w:rPr>
        <w:rFonts w:ascii="Arial" w:eastAsia="Arial" w:hAnsi="Arial"/>
        <w:sz w:val="20"/>
        <w:szCs w:val="20"/>
      </w:rPr>
    </w:pPr>
    <w:bookmarkStart w:id="23" w:name="_GoBack"/>
    <w:bookmarkEnd w:id="23"/>
    <w:r>
      <w:rPr>
        <w:rFonts w:ascii="Arial" w:eastAsia="Arial" w:hAnsi="Arial"/>
        <w:sz w:val="20"/>
        <w:szCs w:val="20"/>
      </w:rPr>
      <w:t>Framework Ref: RM6179</w:t>
    </w:r>
    <w:r>
      <w:rPr>
        <w:rFonts w:ascii="Arial" w:eastAsia="Arial" w:hAnsi="Arial"/>
        <w:sz w:val="20"/>
        <w:szCs w:val="20"/>
      </w:rPr>
      <w:tab/>
      <w:t xml:space="preserve">                                           </w:t>
    </w:r>
  </w:p>
  <w:p w14:paraId="37C86B89" w14:textId="4E9D22FE" w:rsidR="00302FCF" w:rsidRDefault="00D169D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37C86B8A" w14:textId="77777777" w:rsidR="00302FCF" w:rsidRDefault="00D169D9">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86B8B" w14:textId="77777777" w:rsidR="00302FCF" w:rsidRDefault="00D169D9">
    <w:pPr>
      <w:tabs>
        <w:tab w:val="center" w:pos="4513"/>
        <w:tab w:val="right" w:pos="9026"/>
      </w:tabs>
      <w:spacing w:after="0"/>
      <w:rPr>
        <w:color w:val="BFBFBF"/>
      </w:rPr>
    </w:pPr>
    <w:r>
      <w:rPr>
        <w:color w:val="BFBFBF"/>
      </w:rPr>
      <w:t>Framework Ref: RM</w:t>
    </w:r>
    <w:r>
      <w:rPr>
        <w:color w:val="BFBFBF"/>
      </w:rPr>
      <w:tab/>
      <w:t xml:space="preserve">                                           </w:t>
    </w:r>
  </w:p>
  <w:p w14:paraId="37C86B8C" w14:textId="77777777" w:rsidR="00302FCF" w:rsidRDefault="00D169D9">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37C86B8D" w14:textId="77777777" w:rsidR="00302FCF" w:rsidRDefault="00D169D9">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86B8E" w14:textId="77777777" w:rsidR="00000000" w:rsidRDefault="00D169D9">
      <w:pPr>
        <w:spacing w:after="0"/>
      </w:pPr>
      <w:r>
        <w:separator/>
      </w:r>
    </w:p>
  </w:footnote>
  <w:footnote w:type="continuationSeparator" w:id="0">
    <w:p w14:paraId="37C86B90" w14:textId="77777777" w:rsidR="00000000" w:rsidRDefault="00D169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7C23A" w14:textId="77777777" w:rsidR="00D169D9" w:rsidRDefault="00D16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86B86" w14:textId="5E8E1318" w:rsidR="00302FCF" w:rsidRDefault="00D169D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 xml:space="preserve">CCLL23A10 </w:t>
    </w:r>
    <w:r>
      <w:rPr>
        <w:rFonts w:ascii="Arial" w:eastAsia="Arial" w:hAnsi="Arial"/>
        <w:b/>
        <w:color w:val="000000"/>
        <w:sz w:val="20"/>
        <w:szCs w:val="20"/>
      </w:rPr>
      <w:t>Joint Schedule 7 (Financial Difficulties)</w:t>
    </w:r>
  </w:p>
  <w:p w14:paraId="37C86B87" w14:textId="77777777" w:rsidR="00302FCF" w:rsidRDefault="00D169D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CBF11" w14:textId="77777777" w:rsidR="00D169D9" w:rsidRDefault="00D16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80FAD"/>
    <w:multiLevelType w:val="multilevel"/>
    <w:tmpl w:val="04BE597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EC11116"/>
    <w:multiLevelType w:val="multilevel"/>
    <w:tmpl w:val="604E2DA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FCF"/>
    <w:rsid w:val="00302FCF"/>
    <w:rsid w:val="00D169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86B1C"/>
  <w15:docId w15:val="{D8450CAC-9560-4C4D-93A1-731490520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l08CdD0Aksa9cZlAHx8IhaLQkw==">CgMxLjAyCWguMnhjeXRw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4AHIhMXZzcVNodzhVUnpFWE9YejdIa3RROW9TRDlQR01UY3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1660</Words>
  <Characters>9464</Characters>
  <Application>Microsoft Office Word</Application>
  <DocSecurity>0</DocSecurity>
  <Lines>78</Lines>
  <Paragraphs>22</Paragraphs>
  <ScaleCrop>false</ScaleCrop>
  <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Yates</dc:creator>
  <cp:lastModifiedBy>Jonathan Wotman</cp:lastModifiedBy>
  <cp:revision>2</cp:revision>
  <dcterms:created xsi:type="dcterms:W3CDTF">2023-09-08T17:14:00Z</dcterms:created>
  <dcterms:modified xsi:type="dcterms:W3CDTF">2023-10-10T07:02:00Z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